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spacing w:line="240" w:lineRule="auto"/>
        <w:jc w:val="cente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Setting Analysis Worksheet</w:t>
      </w:r>
    </w:p>
    <w:p w:rsidR="00000000" w:rsidDel="00000000" w:rsidP="00000000" w:rsidRDefault="00000000" w:rsidRPr="00000000" w14:paraId="00000002">
      <w:pPr>
        <w:keepNext w:val="0"/>
        <w:keepLines w:val="0"/>
        <w:widowControl w:val="1"/>
        <w:pBdr>
          <w:top w:space="0" w:sz="0" w:val="nil"/>
          <w:left w:space="0" w:sz="0" w:val="nil"/>
          <w:bottom w:space="0" w:sz="0" w:val="nil"/>
          <w:right w:space="0" w:sz="0" w:val="nil"/>
          <w:between w:space="0" w:sz="0" w:val="nil"/>
        </w:pBdr>
        <w:shd w:fill="ffffff" w:val="clear"/>
        <w:spacing w:after="0" w:before="0" w:line="240" w:lineRule="auto"/>
        <w:ind w:left="0" w:right="0" w:firstLine="72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Historical context can be defined as the political, social, cultural, and economic environment related to historical moments, events, and trends. Works of literature are created within particular worlds and are tied to the political, social, and economic conditions of those worlds, or they are created with specific political, social, and economic conditions in mind in order to comment about them. </w:t>
      </w:r>
    </w:p>
    <w:p w:rsidR="00000000" w:rsidDel="00000000" w:rsidP="00000000" w:rsidRDefault="00000000" w:rsidRPr="00000000" w14:paraId="00000003">
      <w:pPr>
        <w:keepNext w:val="0"/>
        <w:keepLines w:val="0"/>
        <w:widowControl w:val="1"/>
        <w:pBdr>
          <w:top w:space="0" w:sz="0" w:val="nil"/>
          <w:left w:space="0" w:sz="0" w:val="nil"/>
          <w:bottom w:space="0" w:sz="0" w:val="nil"/>
          <w:right w:space="0" w:sz="0" w:val="nil"/>
          <w:between w:space="0" w:sz="0" w:val="nil"/>
        </w:pBdr>
        <w:shd w:fill="ffffff" w:val="clear"/>
        <w:spacing w:after="0" w:before="0" w:line="240" w:lineRule="auto"/>
        <w:ind w:left="0" w:right="0" w:firstLine="72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Sometimes our modern thinking does not always apply to the traditions, politics, economics, understandings, and technology of the past. Therefore, it is important to understand specific historical details surrounding a text so we can place ourselves in the story’s world, to “walk in the shoes” of the characters. </w:t>
      </w:r>
    </w:p>
    <w:p w:rsidR="00000000" w:rsidDel="00000000" w:rsidP="00000000" w:rsidRDefault="00000000" w:rsidRPr="00000000" w14:paraId="00000004">
      <w:pPr>
        <w:keepNext w:val="0"/>
        <w:keepLines w:val="0"/>
        <w:widowControl w:val="1"/>
        <w:pBdr>
          <w:top w:space="0" w:sz="0" w:val="nil"/>
          <w:left w:space="0" w:sz="0" w:val="nil"/>
          <w:bottom w:space="0" w:sz="0" w:val="nil"/>
          <w:right w:space="0" w:sz="0" w:val="nil"/>
          <w:between w:space="0" w:sz="0" w:val="nil"/>
        </w:pBdr>
        <w:shd w:fill="ffffff" w:val="clear"/>
        <w:spacing w:after="0" w:before="0" w:line="240" w:lineRule="auto"/>
        <w:ind w:left="0" w:right="0" w:firstLine="72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For this story, the physical obstacles Phoenix Jackson faces become even more challenging when we understand the enveloping action surrounding the plot or, in other words, the social context. </w:t>
      </w:r>
    </w:p>
    <w:p w:rsidR="00000000" w:rsidDel="00000000" w:rsidP="00000000" w:rsidRDefault="00000000" w:rsidRPr="00000000" w14:paraId="00000005">
      <w:pPr>
        <w:keepNext w:val="0"/>
        <w:keepLines w:val="0"/>
        <w:widowControl w:val="1"/>
        <w:numPr>
          <w:ilvl w:val="0"/>
          <w:numId w:val="1"/>
        </w:numPr>
        <w:pBdr>
          <w:top w:space="0" w:sz="0" w:val="nil"/>
          <w:left w:space="0" w:sz="0" w:val="nil"/>
          <w:bottom w:space="0" w:sz="0" w:val="nil"/>
          <w:right w:space="0" w:sz="0" w:val="nil"/>
          <w:between w:space="0" w:sz="0" w:val="nil"/>
        </w:pBdr>
        <w:shd w:fill="ffffff" w:val="clear"/>
        <w:spacing w:after="0" w:before="0" w:line="240" w:lineRule="auto"/>
        <w:ind w:left="1080" w:right="0" w:hanging="360"/>
        <w:jc w:val="left"/>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Identify three physical obstacles (concrete details from the story) </w:t>
      </w:r>
    </w:p>
    <w:p w:rsidR="00000000" w:rsidDel="00000000" w:rsidP="00000000" w:rsidRDefault="00000000" w:rsidRPr="00000000" w14:paraId="00000006">
      <w:pPr>
        <w:keepNext w:val="0"/>
        <w:keepLines w:val="0"/>
        <w:widowControl w:val="1"/>
        <w:numPr>
          <w:ilvl w:val="0"/>
          <w:numId w:val="1"/>
        </w:numPr>
        <w:pBdr>
          <w:top w:space="0" w:sz="0" w:val="nil"/>
          <w:left w:space="0" w:sz="0" w:val="nil"/>
          <w:bottom w:space="0" w:sz="0" w:val="nil"/>
          <w:right w:space="0" w:sz="0" w:val="nil"/>
          <w:between w:space="0" w:sz="0" w:val="nil"/>
        </w:pBdr>
        <w:shd w:fill="ffffff" w:val="clear"/>
        <w:spacing w:after="0" w:before="0" w:line="240" w:lineRule="auto"/>
        <w:ind w:left="1080" w:right="0" w:hanging="360"/>
        <w:jc w:val="left"/>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Record how Phoenix Jackson reacts to them</w:t>
      </w:r>
    </w:p>
    <w:p w:rsidR="00000000" w:rsidDel="00000000" w:rsidP="00000000" w:rsidRDefault="00000000" w:rsidRPr="00000000" w14:paraId="00000007">
      <w:pPr>
        <w:keepNext w:val="0"/>
        <w:keepLines w:val="0"/>
        <w:widowControl w:val="1"/>
        <w:numPr>
          <w:ilvl w:val="0"/>
          <w:numId w:val="1"/>
        </w:numPr>
        <w:pBdr>
          <w:top w:space="0" w:sz="0" w:val="nil"/>
          <w:left w:space="0" w:sz="0" w:val="nil"/>
          <w:bottom w:space="0" w:sz="0" w:val="nil"/>
          <w:right w:space="0" w:sz="0" w:val="nil"/>
          <w:between w:space="0" w:sz="0" w:val="nil"/>
        </w:pBdr>
        <w:shd w:fill="ffffff" w:val="clear"/>
        <w:spacing w:after="0" w:before="0" w:line="240" w:lineRule="auto"/>
        <w:ind w:left="1080" w:right="0" w:hanging="360"/>
        <w:jc w:val="left"/>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Review the article and note how  its information complicates the physical obstacle</w:t>
      </w:r>
    </w:p>
    <w:p w:rsidR="00000000" w:rsidDel="00000000" w:rsidP="00000000" w:rsidRDefault="00000000" w:rsidRPr="00000000" w14:paraId="00000008">
      <w:pPr>
        <w:keepNext w:val="0"/>
        <w:keepLines w:val="0"/>
        <w:widowControl w:val="1"/>
        <w:numPr>
          <w:ilvl w:val="0"/>
          <w:numId w:val="1"/>
        </w:numPr>
        <w:pBdr>
          <w:top w:space="0" w:sz="0" w:val="nil"/>
          <w:left w:space="0" w:sz="0" w:val="nil"/>
          <w:bottom w:space="0" w:sz="0" w:val="nil"/>
          <w:right w:space="0" w:sz="0" w:val="nil"/>
          <w:between w:space="0" w:sz="0" w:val="nil"/>
        </w:pBdr>
        <w:shd w:fill="ffffff" w:val="clear"/>
        <w:spacing w:after="150" w:before="0" w:line="240" w:lineRule="auto"/>
        <w:ind w:left="1080" w:right="0" w:hanging="360"/>
        <w:jc w:val="left"/>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Reflect on these to create a final summary </w:t>
      </w:r>
    </w:p>
    <w:p w:rsidR="00000000" w:rsidDel="00000000" w:rsidP="00000000" w:rsidRDefault="00000000" w:rsidRPr="00000000" w14:paraId="00000009">
      <w:pPr>
        <w:spacing w:line="240" w:lineRule="auto"/>
        <w:rPr>
          <w:rFonts w:ascii="Times New Roman" w:cs="Times New Roman" w:eastAsia="Times New Roman" w:hAnsi="Times New Roman"/>
          <w:sz w:val="24"/>
          <w:szCs w:val="24"/>
        </w:rPr>
      </w:pPr>
      <w:r w:rsidDel="00000000" w:rsidR="00000000" w:rsidRPr="00000000">
        <w:rPr>
          <w:rtl w:val="0"/>
        </w:rPr>
      </w:r>
    </w:p>
    <w:tbl>
      <w:tblPr>
        <w:tblStyle w:val="Table1"/>
        <w:tblW w:w="9666.0" w:type="dxa"/>
        <w:jc w:val="left"/>
        <w:tblInd w:w="0.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9666"/>
        <w:tblGridChange w:id="0">
          <w:tblGrid>
            <w:gridCol w:w="9666"/>
          </w:tblGrid>
        </w:tblGridChange>
      </w:tblGrid>
      <w:tr>
        <w:trPr>
          <w:trHeight w:val="1000" w:hRule="atLeast"/>
        </w:trPr>
        <w:tc>
          <w:tcPr/>
          <w:p w:rsidR="00000000" w:rsidDel="00000000" w:rsidP="00000000" w:rsidRDefault="00000000" w:rsidRPr="00000000" w14:paraId="0000000A">
            <w:pPr>
              <w:spacing w:after="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color w:val="000000"/>
                <w:sz w:val="24"/>
                <w:szCs w:val="24"/>
                <w:rtl w:val="0"/>
              </w:rPr>
              <w:t xml:space="preserve">Physical obstacles--</w:t>
            </w:r>
            <w:r w:rsidDel="00000000" w:rsidR="00000000" w:rsidRPr="00000000">
              <w:rPr>
                <w:rFonts w:ascii="Times New Roman" w:cs="Times New Roman" w:eastAsia="Times New Roman" w:hAnsi="Times New Roman"/>
                <w:sz w:val="24"/>
                <w:szCs w:val="24"/>
                <w:rtl w:val="0"/>
              </w:rPr>
              <w:t xml:space="preserve">connect to </w:t>
            </w:r>
            <w:r w:rsidDel="00000000" w:rsidR="00000000" w:rsidRPr="00000000">
              <w:rPr>
                <w:rFonts w:ascii="Times New Roman" w:cs="Times New Roman" w:eastAsia="Times New Roman" w:hAnsi="Times New Roman"/>
                <w:color w:val="000000"/>
                <w:sz w:val="24"/>
                <w:szCs w:val="24"/>
                <w:rtl w:val="0"/>
              </w:rPr>
              <w:t xml:space="preserve">concrete details from the story</w:t>
            </w:r>
            <w:r w:rsidDel="00000000" w:rsidR="00000000" w:rsidRPr="00000000">
              <w:rPr>
                <w:rtl w:val="0"/>
              </w:rPr>
            </w:r>
          </w:p>
          <w:p w:rsidR="00000000" w:rsidDel="00000000" w:rsidP="00000000" w:rsidRDefault="00000000" w:rsidRPr="00000000" w14:paraId="0000000B">
            <w:pPr>
              <w:spacing w:after="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w:t>
            </w:r>
          </w:p>
          <w:p w:rsidR="00000000" w:rsidDel="00000000" w:rsidP="00000000" w:rsidRDefault="00000000" w:rsidRPr="00000000" w14:paraId="0000000C">
            <w:pPr>
              <w:spacing w:after="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w:t>
            </w:r>
          </w:p>
          <w:p w:rsidR="00000000" w:rsidDel="00000000" w:rsidP="00000000" w:rsidRDefault="00000000" w:rsidRPr="00000000" w14:paraId="0000000D">
            <w:pPr>
              <w:spacing w:after="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3.</w:t>
            </w:r>
          </w:p>
          <w:p w:rsidR="00000000" w:rsidDel="00000000" w:rsidP="00000000" w:rsidRDefault="00000000" w:rsidRPr="00000000" w14:paraId="0000000E">
            <w:pPr>
              <w:rPr>
                <w:rFonts w:ascii="Times New Roman" w:cs="Times New Roman" w:eastAsia="Times New Roman" w:hAnsi="Times New Roman"/>
                <w:sz w:val="24"/>
                <w:szCs w:val="24"/>
              </w:rPr>
            </w:pPr>
            <w:r w:rsidDel="00000000" w:rsidR="00000000" w:rsidRPr="00000000">
              <w:rPr>
                <w:rtl w:val="0"/>
              </w:rPr>
            </w:r>
          </w:p>
        </w:tc>
      </w:tr>
    </w:tbl>
    <w:p w:rsidR="00000000" w:rsidDel="00000000" w:rsidP="00000000" w:rsidRDefault="00000000" w:rsidRPr="00000000" w14:paraId="0000000F">
      <w:pPr>
        <w:spacing w:line="240" w:lineRule="auto"/>
        <w:rPr>
          <w:rFonts w:ascii="Times New Roman" w:cs="Times New Roman" w:eastAsia="Times New Roman" w:hAnsi="Times New Roman"/>
          <w:sz w:val="24"/>
          <w:szCs w:val="24"/>
        </w:rPr>
      </w:pPr>
      <w:r w:rsidDel="00000000" w:rsidR="00000000" w:rsidRPr="00000000">
        <w:rPr>
          <w:rtl w:val="0"/>
        </w:rPr>
      </w:r>
    </w:p>
    <w:tbl>
      <w:tblPr>
        <w:tblStyle w:val="Table2"/>
        <w:tblW w:w="9576.0" w:type="dxa"/>
        <w:jc w:val="left"/>
        <w:tblInd w:w="0.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9576"/>
        <w:tblGridChange w:id="0">
          <w:tblGrid>
            <w:gridCol w:w="9576"/>
          </w:tblGrid>
        </w:tblGridChange>
      </w:tblGrid>
      <w:tr>
        <w:tc>
          <w:tcPr/>
          <w:p w:rsidR="00000000" w:rsidDel="00000000" w:rsidP="00000000" w:rsidRDefault="00000000" w:rsidRPr="00000000" w14:paraId="00000010">
            <w:pPr>
              <w:spacing w:after="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color w:val="000000"/>
                <w:sz w:val="24"/>
                <w:szCs w:val="24"/>
                <w:rtl w:val="0"/>
              </w:rPr>
              <w:t xml:space="preserve">Phoenix Jackson’s reactions--</w:t>
            </w:r>
            <w:r w:rsidDel="00000000" w:rsidR="00000000" w:rsidRPr="00000000">
              <w:rPr>
                <w:rFonts w:ascii="Times New Roman" w:cs="Times New Roman" w:eastAsia="Times New Roman" w:hAnsi="Times New Roman"/>
                <w:sz w:val="24"/>
                <w:szCs w:val="24"/>
                <w:rtl w:val="0"/>
              </w:rPr>
              <w:t xml:space="preserve">connect to </w:t>
            </w:r>
            <w:r w:rsidDel="00000000" w:rsidR="00000000" w:rsidRPr="00000000">
              <w:rPr>
                <w:rFonts w:ascii="Times New Roman" w:cs="Times New Roman" w:eastAsia="Times New Roman" w:hAnsi="Times New Roman"/>
                <w:color w:val="000000"/>
                <w:sz w:val="24"/>
                <w:szCs w:val="24"/>
                <w:rtl w:val="0"/>
              </w:rPr>
              <w:t xml:space="preserve">concrete details from the story</w:t>
            </w:r>
            <w:r w:rsidDel="00000000" w:rsidR="00000000" w:rsidRPr="00000000">
              <w:rPr>
                <w:rtl w:val="0"/>
              </w:rPr>
            </w:r>
          </w:p>
          <w:p w:rsidR="00000000" w:rsidDel="00000000" w:rsidP="00000000" w:rsidRDefault="00000000" w:rsidRPr="00000000" w14:paraId="00000011">
            <w:pPr>
              <w:spacing w:after="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w:t>
            </w:r>
          </w:p>
          <w:p w:rsidR="00000000" w:rsidDel="00000000" w:rsidP="00000000" w:rsidRDefault="00000000" w:rsidRPr="00000000" w14:paraId="00000012">
            <w:pPr>
              <w:spacing w:after="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w:t>
            </w:r>
          </w:p>
          <w:p w:rsidR="00000000" w:rsidDel="00000000" w:rsidP="00000000" w:rsidRDefault="00000000" w:rsidRPr="00000000" w14:paraId="00000013">
            <w:pPr>
              <w:spacing w:after="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3.</w:t>
            </w:r>
          </w:p>
          <w:p w:rsidR="00000000" w:rsidDel="00000000" w:rsidP="00000000" w:rsidRDefault="00000000" w:rsidRPr="00000000" w14:paraId="00000014">
            <w:pPr>
              <w:rPr>
                <w:rFonts w:ascii="Times New Roman" w:cs="Times New Roman" w:eastAsia="Times New Roman" w:hAnsi="Times New Roman"/>
                <w:sz w:val="24"/>
                <w:szCs w:val="24"/>
              </w:rPr>
            </w:pPr>
            <w:r w:rsidDel="00000000" w:rsidR="00000000" w:rsidRPr="00000000">
              <w:rPr>
                <w:rtl w:val="0"/>
              </w:rPr>
            </w:r>
          </w:p>
        </w:tc>
      </w:tr>
    </w:tbl>
    <w:p w:rsidR="00000000" w:rsidDel="00000000" w:rsidP="00000000" w:rsidRDefault="00000000" w:rsidRPr="00000000" w14:paraId="00000015">
      <w:pPr>
        <w:spacing w:line="240" w:lineRule="auto"/>
        <w:rPr>
          <w:rFonts w:ascii="Times New Roman" w:cs="Times New Roman" w:eastAsia="Times New Roman" w:hAnsi="Times New Roman"/>
          <w:sz w:val="24"/>
          <w:szCs w:val="24"/>
        </w:rPr>
      </w:pPr>
      <w:r w:rsidDel="00000000" w:rsidR="00000000" w:rsidRPr="00000000">
        <w:rPr>
          <w:rtl w:val="0"/>
        </w:rPr>
      </w:r>
    </w:p>
    <w:tbl>
      <w:tblPr>
        <w:tblStyle w:val="Table3"/>
        <w:tblW w:w="9576.0" w:type="dxa"/>
        <w:jc w:val="left"/>
        <w:tblInd w:w="0.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9576"/>
        <w:tblGridChange w:id="0">
          <w:tblGrid>
            <w:gridCol w:w="9576"/>
          </w:tblGrid>
        </w:tblGridChange>
      </w:tblGrid>
      <w:tr>
        <w:tc>
          <w:tcPr/>
          <w:p w:rsidR="00000000" w:rsidDel="00000000" w:rsidP="00000000" w:rsidRDefault="00000000" w:rsidRPr="00000000" w14:paraId="00000016">
            <w:pPr>
              <w:spacing w:after="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color w:val="000000"/>
                <w:sz w:val="24"/>
                <w:szCs w:val="24"/>
                <w:rtl w:val="0"/>
              </w:rPr>
              <w:t xml:space="preserve">Complication of physical obstacle</w:t>
            </w:r>
            <w:r w:rsidDel="00000000" w:rsidR="00000000" w:rsidRPr="00000000">
              <w:rPr>
                <w:rFonts w:ascii="Times New Roman" w:cs="Times New Roman" w:eastAsia="Times New Roman" w:hAnsi="Times New Roman"/>
                <w:sz w:val="24"/>
                <w:szCs w:val="24"/>
                <w:rtl w:val="0"/>
              </w:rPr>
              <w:t xml:space="preserve"> through specific historical setting--connect to </w:t>
            </w:r>
            <w:r w:rsidDel="00000000" w:rsidR="00000000" w:rsidRPr="00000000">
              <w:rPr>
                <w:rFonts w:ascii="Times New Roman" w:cs="Times New Roman" w:eastAsia="Times New Roman" w:hAnsi="Times New Roman"/>
                <w:color w:val="000000"/>
                <w:sz w:val="24"/>
                <w:szCs w:val="24"/>
                <w:rtl w:val="0"/>
              </w:rPr>
              <w:t xml:space="preserve">specific evidence from article </w:t>
            </w:r>
            <w:r w:rsidDel="00000000" w:rsidR="00000000" w:rsidRPr="00000000">
              <w:rPr>
                <w:rtl w:val="0"/>
              </w:rPr>
            </w:r>
          </w:p>
          <w:p w:rsidR="00000000" w:rsidDel="00000000" w:rsidP="00000000" w:rsidRDefault="00000000" w:rsidRPr="00000000" w14:paraId="00000017">
            <w:pPr>
              <w:spacing w:after="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w:t>
            </w:r>
          </w:p>
          <w:p w:rsidR="00000000" w:rsidDel="00000000" w:rsidP="00000000" w:rsidRDefault="00000000" w:rsidRPr="00000000" w14:paraId="00000018">
            <w:pPr>
              <w:spacing w:after="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w:t>
            </w:r>
          </w:p>
          <w:p w:rsidR="00000000" w:rsidDel="00000000" w:rsidP="00000000" w:rsidRDefault="00000000" w:rsidRPr="00000000" w14:paraId="00000019">
            <w:pPr>
              <w:spacing w:after="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3.</w:t>
            </w:r>
          </w:p>
          <w:p w:rsidR="00000000" w:rsidDel="00000000" w:rsidP="00000000" w:rsidRDefault="00000000" w:rsidRPr="00000000" w14:paraId="0000001A">
            <w:pPr>
              <w:rPr>
                <w:rFonts w:ascii="Times New Roman" w:cs="Times New Roman" w:eastAsia="Times New Roman" w:hAnsi="Times New Roman"/>
                <w:sz w:val="24"/>
                <w:szCs w:val="24"/>
              </w:rPr>
            </w:pPr>
            <w:r w:rsidDel="00000000" w:rsidR="00000000" w:rsidRPr="00000000">
              <w:rPr>
                <w:rtl w:val="0"/>
              </w:rPr>
            </w:r>
          </w:p>
        </w:tc>
      </w:tr>
    </w:tbl>
    <w:p w:rsidR="00000000" w:rsidDel="00000000" w:rsidP="00000000" w:rsidRDefault="00000000" w:rsidRPr="00000000" w14:paraId="0000001B">
      <w:pPr>
        <w:spacing w:after="0"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C">
      <w:pPr>
        <w:spacing w:line="240" w:lineRule="auto"/>
        <w:rPr>
          <w:rFonts w:ascii="Times New Roman" w:cs="Times New Roman" w:eastAsia="Times New Roman" w:hAnsi="Times New Roman"/>
          <w:sz w:val="24"/>
          <w:szCs w:val="24"/>
        </w:rPr>
      </w:pPr>
      <w:bookmarkStart w:colFirst="0" w:colLast="0" w:name="_gjdgxs" w:id="0"/>
      <w:bookmarkEnd w:id="0"/>
      <w:r w:rsidDel="00000000" w:rsidR="00000000" w:rsidRPr="00000000">
        <w:rPr>
          <w:rFonts w:ascii="Times New Roman" w:cs="Times New Roman" w:eastAsia="Times New Roman" w:hAnsi="Times New Roman"/>
          <w:sz w:val="24"/>
          <w:szCs w:val="24"/>
          <w:rtl w:val="0"/>
        </w:rPr>
        <w:t xml:space="preserve">Summary: How do the story’s particular events, characters, and setting work together to capture something about being human? If we removed the historical setting, would the story hold the same conflict? If we changed the setting of the story to contemporary America, what else would we be forced to change? </w:t>
      </w:r>
    </w:p>
    <w:sectPr>
      <w:pgSz w:h="15840" w:w="12240"/>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Calibri"/>
  <w:font w:name="Georgia"/>
  <w:font w:name="Times New Roman"/>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abstractNum w:abstractNumId="1">
    <w:lvl w:ilvl="0">
      <w:start w:val="1"/>
      <w:numFmt w:val="decimal"/>
      <w:lvlText w:val="%1)"/>
      <w:lvlJc w:val="left"/>
      <w:pPr>
        <w:ind w:left="1080" w:hanging="360"/>
      </w:pPr>
      <w:rPr>
        <w:rFonts w:ascii="Arial" w:cs="Arial" w:eastAsia="Arial" w:hAnsi="Arial"/>
        <w:color w:val="000000"/>
      </w:rPr>
    </w:lvl>
    <w:lvl w:ilvl="1">
      <w:start w:val="1"/>
      <w:numFmt w:val="lowerLetter"/>
      <w:lvlText w:val="%2."/>
      <w:lvlJc w:val="left"/>
      <w:pPr>
        <w:ind w:left="1800" w:hanging="360"/>
      </w:pPr>
      <w:rPr/>
    </w:lvl>
    <w:lvl w:ilvl="2">
      <w:start w:val="1"/>
      <w:numFmt w:val="lowerRoman"/>
      <w:lvlText w:val="%3."/>
      <w:lvlJc w:val="right"/>
      <w:pPr>
        <w:ind w:left="2520" w:hanging="180"/>
      </w:pPr>
      <w:rPr/>
    </w:lvl>
    <w:lvl w:ilvl="3">
      <w:start w:val="1"/>
      <w:numFmt w:val="decimal"/>
      <w:lvlText w:val="%4."/>
      <w:lvlJc w:val="left"/>
      <w:pPr>
        <w:ind w:left="3240" w:hanging="360"/>
      </w:pPr>
      <w:rPr/>
    </w:lvl>
    <w:lvl w:ilvl="4">
      <w:start w:val="1"/>
      <w:numFmt w:val="lowerLetter"/>
      <w:lvlText w:val="%5."/>
      <w:lvlJc w:val="left"/>
      <w:pPr>
        <w:ind w:left="3960" w:hanging="360"/>
      </w:pPr>
      <w:rPr/>
    </w:lvl>
    <w:lvl w:ilvl="5">
      <w:start w:val="1"/>
      <w:numFmt w:val="lowerRoman"/>
      <w:lvlText w:val="%6."/>
      <w:lvlJc w:val="right"/>
      <w:pPr>
        <w:ind w:left="4680" w:hanging="180"/>
      </w:pPr>
      <w:rPr/>
    </w:lvl>
    <w:lvl w:ilvl="6">
      <w:start w:val="1"/>
      <w:numFmt w:val="decimal"/>
      <w:lvlText w:val="%7."/>
      <w:lvlJc w:val="left"/>
      <w:pPr>
        <w:ind w:left="5400" w:hanging="360"/>
      </w:pPr>
      <w:rPr/>
    </w:lvl>
    <w:lvl w:ilvl="7">
      <w:start w:val="1"/>
      <w:numFmt w:val="lowerLetter"/>
      <w:lvlText w:val="%8."/>
      <w:lvlJc w:val="left"/>
      <w:pPr>
        <w:ind w:left="6120" w:hanging="360"/>
      </w:pPr>
      <w:rPr/>
    </w:lvl>
    <w:lvl w:ilvl="8">
      <w:start w:val="1"/>
      <w:numFmt w:val="lowerRoman"/>
      <w:lvlText w:val="%9."/>
      <w:lvlJc w:val="right"/>
      <w:pPr>
        <w:ind w:left="6840" w:hanging="180"/>
      </w:pPr>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Calibri" w:cs="Calibri" w:eastAsia="Calibri" w:hAnsi="Calibri"/>
        <w:sz w:val="22"/>
        <w:szCs w:val="22"/>
        <w:lang w:val="en-US"/>
      </w:rPr>
    </w:rPrDefault>
    <w:pPrDefault>
      <w:pPr>
        <w:spacing w:after="200"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80" w:lineRule="auto"/>
    </w:pPr>
    <w:rPr>
      <w:b w:val="1"/>
      <w:sz w:val="48"/>
      <w:szCs w:val="48"/>
    </w:rPr>
  </w:style>
  <w:style w:type="paragraph" w:styleId="Heading2">
    <w:name w:val="heading 2"/>
    <w:basedOn w:val="Normal"/>
    <w:next w:val="Normal"/>
    <w:pPr>
      <w:keepNext w:val="1"/>
      <w:keepLines w:val="1"/>
      <w:spacing w:after="80" w:before="360" w:lineRule="auto"/>
    </w:pPr>
    <w:rPr>
      <w:b w:val="1"/>
      <w:sz w:val="36"/>
      <w:szCs w:val="36"/>
    </w:rPr>
  </w:style>
  <w:style w:type="paragraph" w:styleId="Heading3">
    <w:name w:val="heading 3"/>
    <w:basedOn w:val="Normal"/>
    <w:next w:val="Normal"/>
    <w:pPr>
      <w:keepNext w:val="1"/>
      <w:keepLines w:val="1"/>
      <w:spacing w:after="80" w:before="280" w:lineRule="auto"/>
    </w:pPr>
    <w:rPr>
      <w:b w:val="1"/>
      <w:sz w:val="28"/>
      <w:szCs w:val="28"/>
    </w:rPr>
  </w:style>
  <w:style w:type="paragraph" w:styleId="Heading4">
    <w:name w:val="heading 4"/>
    <w:basedOn w:val="Normal"/>
    <w:next w:val="Normal"/>
    <w:pPr>
      <w:keepNext w:val="1"/>
      <w:keepLines w:val="1"/>
      <w:spacing w:after="40" w:before="240" w:lineRule="auto"/>
    </w:pPr>
    <w:rPr>
      <w:b w:val="1"/>
      <w:sz w:val="24"/>
      <w:szCs w:val="24"/>
    </w:rPr>
  </w:style>
  <w:style w:type="paragraph" w:styleId="Heading5">
    <w:name w:val="heading 5"/>
    <w:basedOn w:val="Normal"/>
    <w:next w:val="Normal"/>
    <w:pPr>
      <w:keepNext w:val="1"/>
      <w:keepLines w:val="1"/>
      <w:spacing w:after="40" w:before="220" w:lineRule="auto"/>
    </w:pPr>
    <w:rPr>
      <w:b w:val="1"/>
      <w:sz w:val="22"/>
      <w:szCs w:val="22"/>
    </w:rPr>
  </w:style>
  <w:style w:type="paragraph" w:styleId="Heading6">
    <w:name w:val="heading 6"/>
    <w:basedOn w:val="Normal"/>
    <w:next w:val="Normal"/>
    <w:pPr>
      <w:keepNext w:val="1"/>
      <w:keepLines w:val="1"/>
      <w:spacing w:after="40" w:before="200" w:lineRule="auto"/>
    </w:pPr>
    <w:rPr>
      <w:b w:val="1"/>
      <w:sz w:val="20"/>
      <w:szCs w:val="20"/>
    </w:rPr>
  </w:style>
  <w:style w:type="paragraph" w:styleId="Title">
    <w:name w:val="Title"/>
    <w:basedOn w:val="Normal"/>
    <w:next w:val="Normal"/>
    <w:pPr>
      <w:keepNext w:val="1"/>
      <w:keepLines w:val="1"/>
      <w:spacing w:after="120" w:before="480" w:lineRule="auto"/>
    </w:pPr>
    <w:rPr>
      <w:b w:val="1"/>
      <w:sz w:val="72"/>
      <w:szCs w:val="72"/>
    </w:rPr>
  </w:style>
  <w:style w:type="paragraph" w:styleId="Subtitle">
    <w:name w:val="Subtitle"/>
    <w:basedOn w:val="Normal"/>
    <w:next w:val="Normal"/>
    <w:pPr>
      <w:keepNext w:val="1"/>
      <w:keepLines w:val="1"/>
      <w:spacing w:after="80" w:before="360" w:lineRule="auto"/>
    </w:pPr>
    <w:rPr>
      <w:rFonts w:ascii="Georgia" w:cs="Georgia" w:eastAsia="Georgia" w:hAnsi="Georgia"/>
      <w:i w:val="1"/>
      <w:color w:val="666666"/>
      <w:sz w:val="48"/>
      <w:szCs w:val="48"/>
    </w:rPr>
  </w:style>
  <w:style w:type="table" w:styleId="Table1">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2">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3">
    <w:basedOn w:val="TableNormal"/>
    <w:pPr>
      <w:spacing w:after="0" w:line="240" w:lineRule="auto"/>
    </w:pPr>
    <w:tblPr>
      <w:tblStyleRowBandSize w:val="1"/>
      <w:tblStyleColBandSize w:val="1"/>
      <w:tblCellMar>
        <w:top w:w="0.0" w:type="dxa"/>
        <w:left w:w="108.0" w:type="dxa"/>
        <w:bottom w:w="0.0" w:type="dxa"/>
        <w:right w:w="108.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